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image/jpeg" Extension="jpg"/>
  <Default ContentType="image/bmp" Extension="bmp"/>
  <Default ContentType="image/gif" Extension="gif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extended-properties+xml" PartName="/docProps/app.xml"/>
  <Override ContentType="application/vnd.openxmlformats-officedocument.wordprocessingml.numbering+xml" PartName="/word/numbering.xml"/>
  <Override ContentType="application/vnd.openxmlformats-officedocument.wordprocessingml.footnotes+xml" PartName="/word/footnotes.xml"/>
  <Override ContentType="application/vnd.openxmlformats-officedocument.wordprocessingml.settings+xml" PartName="/word/settings.xml"/>
  <Override ContentType="application/vnd.openxmlformats-officedocument.wordprocessingml.comments+xml" PartName="/word/comments.xml"/>
  <Override ContentType="application/vnd.openxmlformats-officedocument.wordprocessingml.footer+xml" PartName="/word/footer1.xml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p14">
  <w:background/>
  <w:body>
    <w:p>
      <w:pPr>
        <w:pStyle w:val="Heading1"/>
        <w:spacing w:before="0" w:after="0" w:lineRule="auto"/>
      </w:pPr>
      <w:r>
        <w:rPr>
          <w:b/>
          <w:bCs/>
          <w:sz w:val="32"/>
          <w:szCs w:val="32"/>
        </w:rPr>
        <w:t xml:space="preserve">古诗词诵读 燕歌行并序 李凭箜篌引 锦瑟 书愤</w:t>
      </w:r>
    </w:p>
    <w:p>
      <w:pPr>
        <w:pStyle w:val="Heading3"/>
        <w:spacing w:before="0" w:after="0" w:lineRule="auto"/>
        <w:jc w:val="center"/>
      </w:pPr>
      <w:r>
        <w:rPr>
          <w:b/>
          <w:bCs/>
          <w:sz w:val="24"/>
          <w:szCs w:val="24"/>
        </w:rPr>
        <w:t xml:space="preserve">课时1 燕歌行并序</w:t>
      </w:r>
    </w:p>
    <w:p>
      <w:pPr>
        <w:pStyle w:val="Heading4"/>
        <w:spacing w:before="0" w:after="0" w:lineRule="auto"/>
      </w:pPr>
      <w:r>
        <w:rPr>
          <w:b/>
          <w:bCs/>
          <w:sz w:val="24"/>
          <w:szCs w:val="24"/>
        </w:rPr>
        <w:t xml:space="preserve">自主学习·悟新知</w:t>
      </w:r>
    </w:p>
    <w:p>
      <w:pPr>
        <w:pStyle w:val="Heading6"/>
        <w:spacing w:before="0" w:after="0" w:lineRule="auto"/>
        <w:jc w:val="left"/>
      </w:pPr>
      <w:r>
        <w:rPr>
          <w:b/>
          <w:bCs/>
          <w:sz w:val="24"/>
          <w:szCs w:val="24"/>
        </w:rPr>
        <w:t xml:space="preserve">一、作者名片</w:t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1007364" cy="1101852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7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364" cy="1101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高适（约700—765），字达夫，一字仲武，河北蓨县（今河北景县南）人，唐代诗人。性落拓，不拘小节。早年曾游历长安，求仕无成，乃寓居梁宋，耕钓为生。安史之乱起，以监察御史佐守潼关，迁侍御史、谏议大夫，至德初拜淮南节度使。熟悉军旅生活，所作边塞诗，对当时的边地形势和士兵疾苦均有反映。高适尤以边塞诗著称于时，他与岑参的边塞诗代表了唐代边塞诗的最高成就，二人并称“高岑”。高适的诗歌尚质主理，雄壮而浑厚古朴，笔力雄健，气势奔放，洋溢着盛唐时期所特有的奋发进取、蓬勃向上的时代精神。“雄浑悲壮”是高适边塞诗的突出特点。有《高常侍集》传世。</w:t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代表作品：《别韦参军》《燕歌行并序》《别董大二首》。</w:t>
      </w:r>
    </w:p>
    <w:p>
      <w:pPr>
        <w:pStyle w:val="Heading6"/>
        <w:spacing w:before="0" w:after="0" w:lineRule="auto"/>
        <w:jc w:val="left"/>
      </w:pPr>
      <w:r>
        <w:rPr>
          <w:b/>
          <w:bCs/>
          <w:sz w:val="24"/>
          <w:szCs w:val="24"/>
        </w:rPr>
        <w:t xml:space="preserve">二、写作背景</w:t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开元十五年（727），高适曾北上蓟门。开元二十年，信安王李祎征讨奚、契丹，他又北去幽燕，希望到信安王幕府效力，未能如愿。“岂无安边书，诸将已承恩。惆怅孙吴事，归来独闭门”，可见他在东北边塞军事上，下过一番研究工夫。开元二十一年后，幽州节度使张守珪经略边事，初有战功。但开元二十四年，安禄山讨奚、契丹，“禄山恃勇轻进，为虏所败”。开元二十六年，幽州将赵堪、白真陀罗假以张守珪之命，逼迫平卢军使乌知义出兵攻奚、契丹，先胜后败。高适对开元二十四年以后的两次战败，感慨很深，故写此篇。</w:t>
      </w:r>
    </w:p>
    <w:p>
      <w:pPr>
        <w:pStyle w:val="Heading4"/>
        <w:spacing w:before="0" w:after="0" w:lineRule="auto"/>
      </w:pPr>
      <w:r>
        <w:rPr>
          <w:b/>
          <w:bCs/>
          <w:sz w:val="24"/>
          <w:szCs w:val="24"/>
        </w:rPr>
        <w:t xml:space="preserve">合作探究·提能力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整体感知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1．</w:t>
      </w:r>
      <w:r>
        <w:rPr>
          <w:b/>
          <w:bCs/>
          <w:sz w:val="24"/>
          <w:szCs w:val="24"/>
        </w:rPr>
        <w:t xml:space="preserve">厘清结构</w:t>
      </w:r>
    </w:p>
    <w:p>
      <w:pPr>
        <w:spacing w:before="0" w:after="0" w:lineRule="auto"/>
        <w:jc w:val="center"/>
      </w:pPr>
    </w:p>
    <w:p>
      <w:pPr>
        <w:spacing w:before="0" w:after="0" w:lineRule="auto"/>
        <w:jc w:val="center"/>
      </w:pPr>
      <w:r>
        <w:drawing>
          <wp:inline distT="0" distB="0" distL="0" distR="0">
            <wp:extent cx="2731999" cy="144780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8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999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jc w:val="left"/>
      </w:pPr>
    </w:p>
    <w:p>
      <w:pPr>
        <w:spacing w:before="0" w:after="0" w:lineRule="auto"/>
      </w:pPr>
      <w:r>
        <w:rPr>
          <w:color w:val="ff0000"/>
        </w:rPr>
        <w:t xml:space="preserve">【答案】慷慨悲壮； 士兵效命死节； 将帅纵情声色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2．</w:t>
      </w:r>
      <w:r>
        <w:rPr>
          <w:b/>
          <w:bCs/>
          <w:sz w:val="24"/>
          <w:szCs w:val="24"/>
        </w:rPr>
        <w:t xml:space="preserve">概括主旨</w:t>
      </w:r>
    </w:p>
    <w:p>
      <w:pPr>
        <w:spacing w:before="0" w:after="0" w:lineRule="auto"/>
        <w:ind w:firstLine="440"/>
        <w:jc w:val="left"/>
      </w:pPr>
      <w:r>
        <w:rPr>
          <w:sz w:val="24"/>
          <w:szCs w:val="24"/>
        </w:rPr>
        <w:t xml:space="preserve">本诗描写了唐朝士兵①_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、转战绝域的情景，高度赞扬了他们为国立功、奋不顾身的牺牲精神，表现了他们离家远戍的苦闷，并给予了②_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，同时还揭露了军中将兵对立、苦乐悬殊的事实，抨击了③_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。</w:t>
      </w:r>
    </w:p>
    <w:p>
      <w:pPr>
        <w:spacing w:before="0" w:after="0" w:lineRule="auto"/>
      </w:pPr>
      <w:r>
        <w:rPr>
          <w:color w:val="ff0000"/>
        </w:rPr>
        <w:t xml:space="preserve">【答案】慷慨赴边； 深切的同情； 将帅的腐败无能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赏文析法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1．赏析诗歌前八句在结构方面使用的艺术手法。（6分）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诗歌起首四句把将军以前的战功和荣耀都概括出来了。“破残贼”“重横行”六字，既写出了敌人的实力，又衬托出了将军的威武、剽悍和所向披靡的英雄气概，同时也为下文轻敌埋下了伏笔。②后面四句中的“扌从金伐鼓”“旌旆逶迤”写出了浩荡的军容，也写出了征战士卒之众，为全军败北时的“兵稀”、狼狈进行了铺垫式的反衬。“校尉”两句写敌我双方紧张部署战略行动的情景。羽书飞报，形容军情紧急；战火烛天，说明敌人早有戒备，也为下文的失败进行了铺垫。（每点3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2．“大漠穷秋塞草腓，孤城落日斗兵稀”中景色描写的作用是什么?（4分）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【答案】诗句写了力竭兵稀、重围难解、孤城落日、衰草连天的景象，（2分）有着鲜明的边塞特点，烘托出残兵败卒凄凉的心境。（2分）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3．试赏析“铁衣远戍辛勤久，玉箸应啼别离后”中“久”字的妙处。（4分）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“久”是“长久”的意思。（1分）战士们身穿铁甲，久戍边疆，家中妻子一定泪如玉箸，时时感伤。（1分）诗人并不是否定出征，而是对造成久戍不归的无能边将进行了强烈的抨击和批判，深化了主题。（2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4．清代学者吴汝纶评价“战士军前半死生，美人帐下犹歌舞”时说“二句最为沉至”，“沉至”即感情沉厚深切。请结合诗句简要分析这两句是怎样做到“沉至”的。（4分）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战士在战场上拼死作战，流血牺牲，将军却在营帐中纵情声色，欣赏美人歌舞。②这两句通过鲜明的对比表达了沉厚深切的感情，尖锐地揭露了军中苦乐不均的残酷现实，批判了将军们的荒淫失职，饱含了诗人对战士的同情。（每点2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5．为什么这首诗能成为众多边塞诗中最具代表性的一首?请简要分析。（6分）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本诗以其深刻的思想和精湛的艺术赢得了人们的赞誉。（2分）诗歌充分展现了诗人复杂的心理，既表达了立功边塞的豪情壮志，又对边塞局势与用兵情状提出见解。诗人一方面对战士的忠勇报国精神进行颂扬，另一方面又对将领的奢靡生活表现出强烈不满，并由此生发出对蒙受战争痛苦的家庭的深切同情，和对守边将领用非其人的讥讽嘲弄。（2分）全诗内容丰富，饱含对边塞情势的见闻感受，具有思想深度与概括力度。（2分）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文白对译</w:t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2613660" cy="155448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9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660" cy="1554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2545080" cy="256032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10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080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2529840" cy="256032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11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2613660" cy="215646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12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660" cy="2156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2529840" cy="146304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13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2560320" cy="112014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14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112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0" w:after="0" w:lineRule="auto"/>
        <w:jc w:val="center"/>
      </w:pPr>
      <w:r>
        <w:rPr>
          <w:b/>
          <w:bCs/>
          <w:sz w:val="24"/>
          <w:szCs w:val="24"/>
        </w:rPr>
        <w:t xml:space="preserve">课时2 李凭箜篌引</w:t>
      </w:r>
    </w:p>
    <w:p>
      <w:pPr>
        <w:pStyle w:val="Heading4"/>
        <w:spacing w:before="0" w:after="0" w:lineRule="auto"/>
      </w:pPr>
      <w:r>
        <w:rPr>
          <w:b/>
          <w:bCs/>
          <w:sz w:val="24"/>
          <w:szCs w:val="24"/>
        </w:rPr>
        <w:t xml:space="preserve">自主学习·悟新知</w:t>
      </w:r>
    </w:p>
    <w:p>
      <w:pPr>
        <w:pStyle w:val="Heading6"/>
        <w:spacing w:before="0" w:after="0" w:lineRule="auto"/>
        <w:jc w:val="left"/>
      </w:pPr>
      <w:r>
        <w:rPr>
          <w:b/>
          <w:bCs/>
          <w:sz w:val="24"/>
          <w:szCs w:val="24"/>
        </w:rPr>
        <w:t xml:space="preserve">一、作者名片</w:t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757428" cy="1080516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15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428" cy="1080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李贺（790—816），字长吉，福昌（今河南宜阳）人，唐代诗人，因家居福昌昌谷，故后世称李昌谷。李贺是唐宗室郑王李亮后裔，但家世早已没落，生活困顿。他焦思苦吟的生活方式和长期的抑郁感伤，使其年仅27岁就英年早逝。李贺有“诗鬼”之称，是继屈原、李白之后，中国文学史上又一位颇享盛誉的浪漫主义诗人。其诗表现出自己政治上不得志的悲愤，对各种社会现实问题也有所讽刺、揭露。他善于熔铸词采，驰骋想象，运用神话传说，创造出新奇瑰丽的诗境。</w:t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代表作品：《神弦曲》《雁门太守行》《金铜仙人辞汉歌》。</w:t>
      </w:r>
    </w:p>
    <w:p>
      <w:pPr>
        <w:pStyle w:val="Heading6"/>
        <w:spacing w:before="0" w:after="0" w:lineRule="auto"/>
        <w:jc w:val="left"/>
      </w:pPr>
      <w:r>
        <w:rPr>
          <w:b/>
          <w:bCs/>
          <w:sz w:val="24"/>
          <w:szCs w:val="24"/>
        </w:rPr>
        <w:t xml:space="preserve">二、写作背景</w:t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这首诗约作于唐宪宗元和六年（811）至八年（813）间，作者当时在京城长安任奉礼郎。李凭是供奉宫廷的梨园弟子，因善弹箜篌，名噪一时。“天子一日一回见，王侯将相立马迎”，其身价之高，似乎远远超过盛唐时期的著名歌手李龟年。他的精湛技艺，受到诗人们的热情赞赏。</w:t>
      </w:r>
    </w:p>
    <w:p>
      <w:pPr>
        <w:pStyle w:val="Heading4"/>
        <w:spacing w:before="0" w:after="0" w:lineRule="auto"/>
      </w:pPr>
      <w:r>
        <w:rPr>
          <w:b/>
          <w:bCs/>
          <w:sz w:val="24"/>
          <w:szCs w:val="24"/>
        </w:rPr>
        <w:t xml:space="preserve">合作探究·提能力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整体感知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1．</w:t>
      </w:r>
      <w:r>
        <w:rPr>
          <w:b/>
          <w:bCs/>
          <w:sz w:val="24"/>
          <w:szCs w:val="24"/>
        </w:rPr>
        <w:t xml:space="preserve">厘清结构</w:t>
      </w:r>
    </w:p>
    <w:p>
      <w:pPr>
        <w:spacing w:before="0" w:after="0" w:lineRule="auto"/>
        <w:jc w:val="center"/>
      </w:pPr>
    </w:p>
    <w:p>
      <w:pPr>
        <w:spacing w:before="0" w:after="0" w:lineRule="auto"/>
        <w:jc w:val="center"/>
      </w:pPr>
      <w:r>
        <w:drawing>
          <wp:inline distT="0" distB="0" distL="0" distR="0">
            <wp:extent cx="2730551" cy="1764868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16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51" cy="1764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jc w:val="left"/>
      </w:pPr>
    </w:p>
    <w:p>
      <w:pPr>
        <w:spacing w:before="0" w:after="0" w:lineRule="auto"/>
      </w:pPr>
      <w:r>
        <w:rPr>
          <w:color w:val="ff0000"/>
        </w:rPr>
        <w:t xml:space="preserve">【答案】起伏多变； 正面描写； 石破天惊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2．</w:t>
      </w:r>
      <w:r>
        <w:rPr>
          <w:b/>
          <w:bCs/>
          <w:sz w:val="24"/>
          <w:szCs w:val="24"/>
        </w:rPr>
        <w:t xml:space="preserve">概括主旨</w:t>
      </w:r>
    </w:p>
    <w:p>
      <w:pPr>
        <w:spacing w:before="0" w:after="0" w:lineRule="auto"/>
        <w:ind w:firstLine="440"/>
        <w:jc w:val="left"/>
      </w:pPr>
      <w:r>
        <w:rPr>
          <w:sz w:val="24"/>
          <w:szCs w:val="24"/>
        </w:rPr>
        <w:t xml:space="preserve">这是一首描写①_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的诗作。诗人驰骋想象，运用②_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，以丰富的艺术形象再现了演奏者创造的诗意浓郁的③_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，赞美了李凭高超的演奏技艺。</w:t>
      </w:r>
    </w:p>
    <w:p>
      <w:pPr>
        <w:spacing w:before="0" w:after="0" w:lineRule="auto"/>
      </w:pPr>
      <w:r>
        <w:rPr>
          <w:color w:val="ff0000"/>
        </w:rPr>
        <w:t xml:space="preserve">【答案】李凭演奏箜篌； 神话传说； 音乐境界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赏文析法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1．请赏析“吴丝蜀桐张高秋”一句。（6分）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诗的起句开门见山。“吴丝蜀桐”写箜篌制作精良，借以衬托演奏者技艺的高超，写物亦写人，有一箭双雕之效。②“高秋”除了表明时间是深秋九月，还含有“秋高气爽”的意思，与“深秋”“暮秋”之类相比，更富意蕴。③“张”字不仅仅表明演奏的动作，而且很容易引起这样的联想：音乐的情韵高远饱满，直上云天。（每点2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2．“女娲炼石补天处，石破天惊逗秋雨”中，哪一个字用得最为传神?请结合诗句进行赏析。（6分）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最为传神的字是“逗”。②“女娲炼石补天处，石破天惊逗秋雨”，这两句诗的情境承接“紫皇”展开。音乐情绪发展到极致，达到整个乐曲的高潮。乐声传到天上，在女娲炼石补天的地方，连五色石都被乐音震破，引来了一场秋雨，把音乐的震撼力描摹得无以复加。③一个“逗”字，把音乐的强大魅力和奇瑰的景象紧紧联系在一起。（每点2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3．“老鱼跳波瘦蛟舞”中诗人用“老”和“瘦”两个似乎干枯的字眼修饰“鱼”和“蛟”，有何妙处?（6分）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诗人用“老”和“瘦”这两个似乎干枯的字眼修饰“鱼”和“蛟”，却有着完全相反的艺术效果，使音乐形象更加丰满。②老鱼和瘦蛟本来羸弱乏力，行动艰难，现在竟然伴随着音乐的旋律腾跃起舞，这种出其不意的形象描写，使那无形美妙的箜篌声浮雕般地呈现在读者的眼前了。（每点3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4．请举例赏析诗中运用的化无形为有形的通感手法。（6分）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“芙蓉泣露香兰笑”构思奇特，带露的芙蓉（荷花）、盛开的兰花都是美的化身。②诗人用“芙蓉泣露”摹写琴声的悲抑，以哭泣的声音、画面摹写乐声的悲惨。③诗人以“香兰笑”显示琴声的欢快，“笑”具有诉诸听觉的属性，还能给人“笑靥如花”的视觉感受，不仅可以耳闻，而且可以目睹。（每点2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5．请结合全诗，赏析这首诗的主要特点。（6分）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这首诗的最大特点是想象奇特，形象鲜明，充满浪漫主义色彩。②诗人把自己对箜篌声的抽象感觉、感情借助联想转化成具体的物象，使之可见可感。诗歌没有对李凭的技艺进行直接评判，也没有直接描述诗人的自我感受，有的只是对于乐声及其效果的摹绘。③纵观全篇，诗歌无处不寄托着诗人的情思，曲折而又明朗地表达了他对乐曲的感受和评价。这就使外在的物象和内在的情思融为一体，形成赏心悦目的艺术境界。（每点2分）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文白对译</w:t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2499360" cy="77724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17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360" cy="77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2590800" cy="218694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18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18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2590800" cy="221742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19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0" w:after="0" w:lineRule="auto"/>
        <w:jc w:val="center"/>
      </w:pPr>
      <w:r>
        <w:rPr>
          <w:b/>
          <w:bCs/>
          <w:sz w:val="24"/>
          <w:szCs w:val="24"/>
        </w:rPr>
        <w:t xml:space="preserve">课时3 锦瑟</w:t>
      </w:r>
    </w:p>
    <w:p>
      <w:pPr>
        <w:pStyle w:val="Heading4"/>
        <w:spacing w:before="0" w:after="0" w:lineRule="auto"/>
      </w:pPr>
      <w:r>
        <w:rPr>
          <w:b/>
          <w:bCs/>
          <w:sz w:val="24"/>
          <w:szCs w:val="24"/>
        </w:rPr>
        <w:t xml:space="preserve">自主学习·悟新知</w:t>
      </w:r>
    </w:p>
    <w:p>
      <w:pPr>
        <w:pStyle w:val="Heading6"/>
        <w:spacing w:before="0" w:after="0" w:lineRule="auto"/>
        <w:jc w:val="left"/>
      </w:pPr>
      <w:r>
        <w:rPr>
          <w:b/>
          <w:bCs/>
          <w:sz w:val="24"/>
          <w:szCs w:val="24"/>
        </w:rPr>
        <w:t xml:space="preserve">一、作者名片</w:t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888568" cy="1072591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20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568" cy="1072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李商隐（约813—约858），字义山，号玉谿生。他擅长诗歌写作，其骈文文学价值也很高，是晚唐出色的诗人之一，和杜牧合称“小李杜”，与温庭筠合称“温李”。因其诗文与同时期的段成式、温庭筠风格相近，均擅长骈体文，且三人都在家族里排行第十六，故并称为“三十六体”。其诗构思新奇，文辞清丽，其一些爱情诗和无题诗缠绵悱恻，优美动人，被广为传诵。但部分诗歌过于隐晦迷离，难于索解。因其处于牛李党争的夹缝之中，一生不得志。</w:t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代表作品：《夜雨寄北》《无题》等。</w:t>
      </w:r>
    </w:p>
    <w:p>
      <w:pPr>
        <w:pStyle w:val="Heading6"/>
        <w:spacing w:before="0" w:after="0" w:lineRule="auto"/>
        <w:jc w:val="left"/>
      </w:pPr>
      <w:r>
        <w:rPr>
          <w:b/>
          <w:bCs/>
          <w:sz w:val="24"/>
          <w:szCs w:val="24"/>
        </w:rPr>
        <w:t xml:space="preserve">二、写作背景</w:t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李商隐少年才俊，但无意之中被卷入了牛李两党倾轧的旋涡，郁郁不得志，再未有过施展抱负的机会，因此不免终身抑郁，于是一切忧时忧国之心，自伤身世之慨，都寓托于幽微隐晦的诗篇里。这首诗约作于诗人晚年，学界对《锦瑟》主题的理解历来不一。</w:t>
      </w:r>
    </w:p>
    <w:p>
      <w:pPr>
        <w:pStyle w:val="Heading4"/>
        <w:spacing w:before="0" w:after="0" w:lineRule="auto"/>
      </w:pPr>
      <w:r>
        <w:rPr>
          <w:b/>
          <w:bCs/>
          <w:sz w:val="24"/>
          <w:szCs w:val="24"/>
        </w:rPr>
        <w:t xml:space="preserve">合作探究·提能力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整体感知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1．</w:t>
      </w:r>
      <w:r>
        <w:rPr>
          <w:b/>
          <w:bCs/>
          <w:sz w:val="24"/>
          <w:szCs w:val="24"/>
        </w:rPr>
        <w:t xml:space="preserve">厘清结构</w:t>
      </w:r>
    </w:p>
    <w:p>
      <w:pPr>
        <w:spacing w:before="0" w:after="0" w:lineRule="auto"/>
        <w:jc w:val="center"/>
      </w:pPr>
    </w:p>
    <w:p>
      <w:pPr>
        <w:spacing w:before="0" w:after="0" w:lineRule="auto"/>
        <w:jc w:val="center"/>
      </w:pPr>
      <w:r>
        <w:drawing>
          <wp:inline distT="0" distB="0" distL="0" distR="0">
            <wp:extent cx="2569845" cy="1601267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21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845" cy="1601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jc w:val="left"/>
      </w:pPr>
    </w:p>
    <w:p>
      <w:pPr>
        <w:spacing w:before="0" w:after="0" w:lineRule="auto"/>
      </w:pPr>
      <w:r>
        <w:rPr>
          <w:color w:val="ff0000"/>
        </w:rPr>
        <w:t xml:space="preserve">【答案】“庄子”之典； “沧海”明珠； 诉无奈苦悲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2．</w:t>
      </w:r>
      <w:r>
        <w:rPr>
          <w:b/>
          <w:bCs/>
          <w:sz w:val="24"/>
          <w:szCs w:val="24"/>
        </w:rPr>
        <w:t xml:space="preserve">概括主旨</w:t>
      </w:r>
    </w:p>
    <w:p>
      <w:pPr>
        <w:spacing w:before="0" w:after="0" w:lineRule="auto"/>
        <w:ind w:firstLine="440"/>
        <w:jc w:val="left"/>
      </w:pPr>
      <w:r>
        <w:rPr>
          <w:sz w:val="24"/>
          <w:szCs w:val="24"/>
        </w:rPr>
        <w:t xml:space="preserve">关于《锦瑟》的主题，有人认为是悼念其亡妻，有人认为是描写瑟之华美及其音之清和，有人认为是自伤身世遭际……现在学术界多数人认可的说法是此诗作于诗人晚年，是自伤身世之作。联系全诗的感情基调，似乎应有生离死别之恨、①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之痛。全诗借②_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倾诉隐衷，表达心曲，其中往复低回的况味是极复杂的。</w:t>
      </w:r>
    </w:p>
    <w:p>
      <w:pPr>
        <w:spacing w:before="0" w:after="0" w:lineRule="auto"/>
      </w:pPr>
      <w:r>
        <w:rPr>
          <w:color w:val="ff0000"/>
        </w:rPr>
        <w:t xml:space="preserve">【答案】理想破灭； 锦瑟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赏文析法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1．本诗中间两联用了哪些典故？这些典故渲染了什么样的情调？营造了怎样的意境？（6分）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颔联和颈联共用了四个典故，呈现了不同的意境和情绪。（2分）庄周梦蝶，是人生的恍惚和迷惘；望帝春心，包含苦苦追寻的执着；沧海鲛泪，展现了一种阔大的寂寥；蓝田日暖，传达了温暖而朦胧的欢乐。（2分）诗人从典故中提取的意象是那样的神奇、空灵，他的心灵向读者缓缓开启，华年的美好、生命的感触等皆融于其中，却只可意会不可言说。（2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2．请赏析颔联中的“迷”“托”二字。（6分）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“迷”字有迷恋、迷失之意，这个字不仅描绘了诗人对美好梦境的迷恋，也反映了他在现实生活中的迷茫和期待，传达了诗人对理想和现实的深刻反思，以及在困境中的不懈追求。此外，“迷”字连接了“庄生梦蝶”的典故和“望帝春心托杜鹃”的情境，使得诗句在情感上更加连贯和深沉。②“托”字不仅象征着望帝将自己的幽恨寄托于杜鹃，表现了望帝的悲愤和无奈；还暗指了佳人将自己的春心寄托于锦瑟，反映了佳人对美好时光流逝的感慨和怨恨。“托”字将望帝和佳人的情感巧妙地融合在一起，形成了一种共鸣，使得诗句具有了深远的意境。（每点3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3．本诗的尾联向来为人称道，试分析其妙处所在。（4分）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【答案】①尾联收束全篇，明确提出“此情”二字，与首联的“华年”相呼应。②诗人用两句话表达出了几层曲折，而几层曲折又只是为了说明那种怅惘的苦痛心情。（每点2分）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4．请赏析本诗的朦胧美。（6分）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诗歌所呈现的是似有实无又分明可见的一个个意象（庄周梦蝶、杜鹃啼血、沧海珠泪、良玉生烟）。（2分）这些意象构成的不是完整的画面，而是惆怅、伤感、寂寞的情思，是弥漫着这些情思的心象。（2分）诗的境界超越时空限制。喻体本身不同程度带有朦胧性质，本体又没有出现，自然形成朦胧意境，难以确解。（2分）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文白对译</w:t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2529840" cy="290322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22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0" w:after="0" w:lineRule="auto"/>
        <w:jc w:val="center"/>
      </w:pPr>
      <w:r>
        <w:rPr>
          <w:b/>
          <w:bCs/>
          <w:sz w:val="24"/>
          <w:szCs w:val="24"/>
        </w:rPr>
        <w:t xml:space="preserve">课时4 书愤</w:t>
      </w:r>
    </w:p>
    <w:p>
      <w:pPr>
        <w:pStyle w:val="Heading4"/>
        <w:spacing w:before="0" w:after="0" w:lineRule="auto"/>
      </w:pPr>
      <w:r>
        <w:rPr>
          <w:b/>
          <w:bCs/>
          <w:sz w:val="24"/>
          <w:szCs w:val="24"/>
        </w:rPr>
        <w:t xml:space="preserve">自主学习·悟新知</w:t>
      </w:r>
    </w:p>
    <w:p>
      <w:pPr>
        <w:pStyle w:val="Heading6"/>
        <w:spacing w:before="0" w:after="0" w:lineRule="auto"/>
        <w:jc w:val="left"/>
      </w:pPr>
      <w:r>
        <w:rPr>
          <w:b/>
          <w:bCs/>
          <w:sz w:val="24"/>
          <w:szCs w:val="24"/>
        </w:rPr>
        <w:t xml:space="preserve">一、作者名片</w:t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804977" cy="102649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23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977" cy="102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陆游（1125—1210），字务观，号放翁，越州山阴（今浙江绍兴）人。南宋文学家，爱国诗人、词人，“中兴四大诗人”之一。陆游具有多方面文学才能，以诗的成就为最。一生作品丰富，有数十个文集存世，自言“六十年间万首诗”，至今尚存9300余首，是中国现有存诗最多的诗人。其中许多诗篇抒写了抗金杀敌的豪情，风格雄奇奔放、沉郁悲壮，洋溢着强烈的爱国主义激情；在思想上、艺术上取得了卓越成就。他在生前即有“小李白”之称。他不仅是南宋时期的诗坛领袖，而且在中国文学史上享有崇高地位。</w:t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代表作品：《剑南诗稿》《渭南文集》等。</w:t>
      </w:r>
    </w:p>
    <w:p>
      <w:pPr>
        <w:pStyle w:val="Heading6"/>
        <w:spacing w:before="0" w:after="0" w:lineRule="auto"/>
        <w:jc w:val="left"/>
      </w:pPr>
      <w:r>
        <w:rPr>
          <w:b/>
          <w:bCs/>
          <w:sz w:val="24"/>
          <w:szCs w:val="24"/>
        </w:rPr>
        <w:t xml:space="preserve">二、写作背景</w:t>
      </w:r>
    </w:p>
    <w:p>
      <w:pPr>
        <w:spacing w:before="0" w:after="0" w:lineRule="auto"/>
        <w:ind w:firstLine="440"/>
      </w:pPr>
      <w:r>
        <w:rPr>
          <w:sz w:val="24"/>
          <w:szCs w:val="24"/>
        </w:rPr>
        <w:t xml:space="preserve">此诗为淳熙十三年（1186）春于会稽石帆别业所作，当时陆游62岁，已被罢官六年，在故乡蛰居，直到作此诗时，才以朝奉大夫、权知严州军州事被起用。作者想那山河破碎、中原未收而“报国欲死无战场”，感于世事多艰、小人误国而“书生无地效孤忠”，因此，诗的内容兼有追怀往事和重新立誓报国两重感情。</w:t>
      </w:r>
    </w:p>
    <w:p>
      <w:pPr>
        <w:pStyle w:val="Heading4"/>
        <w:spacing w:before="0" w:after="0" w:lineRule="auto"/>
      </w:pPr>
      <w:r>
        <w:rPr>
          <w:b/>
          <w:bCs/>
          <w:sz w:val="24"/>
          <w:szCs w:val="24"/>
        </w:rPr>
        <w:t xml:space="preserve">合作探究·提能力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整体感知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1．</w:t>
      </w:r>
      <w:r>
        <w:rPr>
          <w:b/>
          <w:bCs/>
          <w:sz w:val="24"/>
          <w:szCs w:val="24"/>
        </w:rPr>
        <w:t xml:space="preserve">厘清结构</w:t>
      </w:r>
    </w:p>
    <w:p>
      <w:pPr>
        <w:spacing w:before="0" w:after="0" w:lineRule="auto"/>
        <w:jc w:val="center"/>
      </w:pPr>
    </w:p>
    <w:p>
      <w:pPr>
        <w:spacing w:before="0" w:after="0" w:lineRule="auto"/>
        <w:jc w:val="center"/>
      </w:pPr>
      <w:r>
        <w:drawing>
          <wp:inline distT="0" distB="0" distL="0" distR="0">
            <wp:extent cx="2730551" cy="1604162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24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51" cy="1604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Rule="auto"/>
        <w:jc w:val="left"/>
      </w:pPr>
    </w:p>
    <w:p>
      <w:pPr>
        <w:spacing w:before="0" w:after="0" w:lineRule="auto"/>
      </w:pPr>
      <w:r>
        <w:rPr>
          <w:color w:val="ff0000"/>
        </w:rPr>
        <w:t xml:space="preserve">【答案】渴望北伐的英雄气概； 回到现实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2．</w:t>
      </w:r>
      <w:r>
        <w:rPr>
          <w:b/>
          <w:bCs/>
          <w:sz w:val="24"/>
          <w:szCs w:val="24"/>
        </w:rPr>
        <w:t xml:space="preserve">概括主旨</w:t>
      </w:r>
    </w:p>
    <w:p>
      <w:pPr>
        <w:spacing w:before="0" w:after="0" w:lineRule="auto"/>
        <w:ind w:firstLine="440"/>
        <w:jc w:val="left"/>
      </w:pPr>
      <w:r>
        <w:rPr>
          <w:sz w:val="24"/>
          <w:szCs w:val="24"/>
        </w:rPr>
        <w:t xml:space="preserve">诗人在诗中借北望中原回顾了自己早年的凌云壮志和战争生活，并由此俯仰千载，抒发了①_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、②_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的感叹和对投降派的③_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之情。</w:t>
      </w:r>
    </w:p>
    <w:p>
      <w:pPr>
        <w:spacing w:before="0" w:after="0" w:lineRule="auto"/>
      </w:pPr>
      <w:r>
        <w:rPr>
          <w:color w:val="ff0000"/>
        </w:rPr>
        <w:t xml:space="preserve">【答案】壮志难酬； 老迈年高； 强烈愤慨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赏文析法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1．“书愤”之“愤”包含哪些感情？（6分）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所愤之一为“世事艰”，投降派把持朝政，朝廷“主和”，阻挠北伐。②所愤之二为“空自许”，壮志难酬，请缨无路。③所愤之三为“鬓先斑”，岁月蹉跎，年华空老。④所愤之四为“谁堪伯仲间”，南宋朝廷苟且偷安，无人领军。“愤”中含“恨”，“愤”中含“悲”，“愤”中含“叹”。（答出一点给2分，答出两点给3分，答出三点给5分，答出四点给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2．简析本诗中对比手法的运用。（6分）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诗人自身的对比，即昔日的豪气壮举和今日的年迈衰颓的对比，表现了诗人对岁月无情、壮志难酬的感慨。②诸葛亮的矢志北伐、积极进取和当今权臣的苟且误国的对比，表现了诗人怀古伤今的悲愤和无奈。（每点3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3．请赏析本诗颔联的场面描写。（6分）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颔联对仗工整，描画白雪皑皑、秋风萧萧、万马奔腾、战船横江的征战场面，从而赞美了当年气吞残虏、挥戈卫边的爱国将士，是对“气如山”这种豪情具体形象的说明，从中可以看出诗人战斗的热情。②此联表面写宏大的场面，实际歌颂英勇的战士，表面写战争，实际抒发感情。（每点3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4．试分析本诗虚实相生的艺术特色。（6分）</w:t>
      </w:r>
    </w:p>
    <w:p>
      <w:pPr>
        <w:spacing w:before="0" w:after="0" w:lineRule="auto"/>
        <w:jc w:val="left"/>
      </w:pPr>
      <w:r>
        <w:rPr>
          <w:sz w:val="24"/>
          <w:szCs w:val="24"/>
        </w:rPr>
        <w:t xml:space="preserve">答： 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  <w:r>
        <w:rPr>
          <w:sz w:val="24"/>
          <w:szCs w:val="24"/>
        </w:rPr>
        <w:t xml:space="preserve">_</w:t>
      </w:r>
      <w:r>
        <w:rPr>
          <w:sz w:val="1"/>
          <w:szCs w:val="1"/>
        </w:rPr>
        <w:t xml:space="preserve"> </w:t>
      </w:r>
    </w:p>
    <w:p>
      <w:pPr>
        <w:spacing w:before="0" w:after="0" w:lineRule="auto"/>
      </w:pPr>
      <w:r>
        <w:rPr>
          <w:color w:val="ff0000"/>
        </w:rPr>
        <w:t xml:space="preserve">【答案】①首联上句写虚，回忆年轻时的天真单纯；下句以实写虚，用有形的“山”来形容无形的“气”，突出“气”的坚毅、豪迈。②颈联上句“塞上长城”写理想，气势雄伟，意境高远，从大处、远处落笔，是虚写；下句“镜中衰鬓”写现实，感情沉郁，格调凝重，从细处、近处着墨，是实写。③变化多姿的虚实的映衬，加重了诗歌雄壮悲愤的基调。（每点2分）</w:t>
      </w:r>
    </w:p>
    <w:p>
      <w:pPr>
        <w:pStyle w:val="Heading5"/>
        <w:spacing w:before="0" w:after="0" w:lineRule="auto"/>
      </w:pPr>
      <w:r>
        <w:rPr>
          <w:b/>
          <w:bCs/>
          <w:sz w:val="24"/>
          <w:szCs w:val="24"/>
        </w:rPr>
        <w:t xml:space="preserve">文白对译</w:t>
      </w:r>
    </w:p>
    <w:p>
      <w:pPr>
        <w:spacing w:before="0" w:after="0" w:lineRule="auto"/>
        <w:jc w:val="center"/>
      </w:pPr>
      <w:r>
        <w:drawing>
          <wp:inline distT="0" distB="0" distL="0" distR="0">
            <wp:extent cx="2529840" cy="2964180"/>
            <wp:effectExtent b="0" l="0" r="0" t="0"/>
            <wp:docPr id="0" name="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r="" title=""/>
                    <pic:cNvPicPr>
                      <a:picLocks noChangeAspect="1" noChangeArrowheads="1"/>
                    </pic:cNvPicPr>
                  </pic:nvPicPr>
                  <pic:blipFill>
                    <a:blip r:embed="rId25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w:type="default" r:id="rId6"/>
      <w:type w:val="continuous"/>
      <w:pgSz w:w="210mm" w:h="297mm" w:orient="portrait"/>
      <w:pgMar w:top="25.4mm" w:right="31.8mm" w:bottom="25.4mm" w:left="31.8mm" w:header="708" w:footer="708" w:gutter="0"/>
      <w:pgNumType w:start="1" w:fmt="decimal"/>
      <w:cols w:space="720" w:num="1"/>
      <w:docGrid w:linePitch="360"/>
    </w:sectPr>
  </w:body>
</w:document>
</file>

<file path=word/comments.xml><?xml version="1.0" encoding="utf-8"?>
<w:comments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/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>
  <w:p>
    <w:pPr>
      <w:jc w:val="center"/>
    </w:pPr>
    <w:r>
      <w:t xml:space="preserve">第</w:t>
      <w:fldChar w:fldCharType="begin"/>
      <w:instrText xml:space="preserve">PAGE</w:instrText>
      <w:fldChar w:fldCharType="separate"/>
      <w:fldChar w:fldCharType="end"/>
      <w:t xml:space="preserve">页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>
      <w:pPr>
        <w:spacing w:after="0" w:line="240" w:lineRule="auto"/>
      </w:pPr>
      <w:r>
        <w:rPr>
          <w:rStyle w:val="FootnoteReference"/>
        </w:rPr>
        <w:footnoteRef/>
      </w:r>
      <w:r>
        <w:separator/>
      </w:r>
    </w:p>
  </w:footnote>
  <w:footnote w:type="continuationSeparator" w:id="0">
    <w:p>
      <w:pPr>
        <w:spacing w:after="0" w:line="240" w:lineRule="auto"/>
      </w:pPr>
      <w:r>
        <w:rPr>
          <w:rStyle w:val="FootnoteReference"/>
        </w:rPr>
        <w:footnoteRef/>
      </w: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9" w15:restartNumberingAfterBreak="0">
    <w:multiLevelType w:val="hybridMultilevel"/>
    <w:lvl w:ilvl="0" w15:tentative="1">
      <w:start w:val="1"/>
      <w:numFmt w:val="bullet"/>
      <w:lvlText w:val="●"/>
      <w:lvlJc w:val="left"/>
      <w:pPr>
        <w:ind w:left="720" w:hanging="360"/>
      </w:pPr>
    </w:lvl>
    <w:lvl w:ilvl="1" w15:tentative="1">
      <w:start w:val="1"/>
      <w:numFmt w:val="bullet"/>
      <w:lvlText w:val="○"/>
      <w:lvlJc w:val="left"/>
      <w:pPr>
        <w:ind w:left="1440" w:hanging="360"/>
      </w:pPr>
    </w:lvl>
    <w:lvl w:ilvl="2" w15:tentative="1">
      <w:start w:val="1"/>
      <w:numFmt w:val="bullet"/>
      <w:lvlText w:val="■"/>
      <w:lvlJc w:val="left"/>
      <w:pPr>
        <w:ind w:left="2160" w:hanging="360"/>
      </w:pPr>
    </w:lvl>
    <w:lvl w:ilvl="3" w15:tentative="1">
      <w:start w:val="1"/>
      <w:numFmt w:val="bullet"/>
      <w:lvlText w:val="●"/>
      <w:lvlJc w:val="left"/>
      <w:pPr>
        <w:ind w:left="2880" w:hanging="360"/>
      </w:pPr>
    </w:lvl>
    <w:lvl w:ilvl="4" w15:tentative="1">
      <w:start w:val="1"/>
      <w:numFmt w:val="bullet"/>
      <w:lvlText w:val="○"/>
      <w:lvlJc w:val="left"/>
      <w:pPr>
        <w:ind w:left="3600" w:hanging="360"/>
      </w:pPr>
    </w:lvl>
    <w:lvl w:ilvl="5" w15:tentative="1">
      <w:start w:val="1"/>
      <w:numFmt w:val="bullet"/>
      <w:lvlText w:val="■"/>
      <w:lvlJc w:val="left"/>
      <w:pPr>
        <w:ind w:left="4320" w:hanging="360"/>
      </w:pPr>
    </w:lvl>
    <w:lvl w:ilvl="6" w15:tentative="1">
      <w:start w:val="1"/>
      <w:numFmt w:val="bullet"/>
      <w:lvlText w:val="●"/>
      <w:lvlJc w:val="left"/>
      <w:pPr>
        <w:ind w:left="5040" w:hanging="360"/>
      </w:pPr>
    </w:lvl>
    <w:lvl w:ilvl="7" w15:tentative="1">
      <w:start w:val="1"/>
      <w:numFmt w:val="bullet"/>
      <w:lvlText w:val="●"/>
      <w:lvlJc w:val="left"/>
      <w:pPr>
        <w:ind w:left="5760" w:hanging="360"/>
      </w:pPr>
    </w:lvl>
    <w:lvl w:ilvl="8" w15:tentative="1">
      <w:start w:val="1"/>
      <w:numFmt w:val="bullet"/>
      <w:lvlText w:val="●"/>
      <w:lvlJc w:val="left"/>
      <w:pPr>
        <w:ind w:left="6480" w:hanging="360"/>
      </w:pPr>
    </w:lvl>
  </w:abstractNum>
  <w:num w:numId="1">
    <w:abstractNumId w:val="9"/>
    <w:lvlOverride w:ilvl="0">
      <w:startOverride w:val="1"/>
    </w:lvlOverride>
  </w:num>
</w:numbering>
</file>

<file path=word/settings.xml><?xml version="1.0" encoding="utf-8"?>
<w:setting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isplayBackgroundShape/>
  <w:evenAndOddHeaders w:val="false"/>
  <w:compat>
    <w:compatSetting w:val="15" w:uri="http://schemas.microsoft.com/office/word" w:name="compatibilityMode"/>
  </w:compat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ongti SC"/>
      </w:rPr>
    </w:rPrDefault>
    <w:pPrDefault/>
  </w:docDefaults>
  <w:style w:type="paragraph" w:styleId="Normal">
    <w:name w:val="Normal"/>
    <w:qFormat/>
    <w:pPr>
      <w:spacing w:lineRule="auto" w:line="360"/>
    </w:pPr>
    <w:rPr>
      <w:color w:val="000000"/>
      <w:sz w:val="24"/>
      <w:szCs w:val="24"/>
      <w:rFonts w:ascii="Times New Roman" w:eastAsia="SimSun" w:hAnsi="SimSun"/>
    </w:rPr>
  </w:style>
  <w:style w:type="paragraph" w:styleId="Heading1">
    <w:name w:val="heading 1"/>
    <w:uiPriority w:val="9"/>
    <w:qFormat/>
    <w:pPr>
      <w:spacing w:lineRule="auto"/>
      <w:jc w:val="center"/>
      <w:outlineLvl w:val="0"/>
    </w:pPr>
    <w:rPr>
      <w:b/>
      <w:bCs/>
      <w:sz w:val="32"/>
      <w:szCs w:val="32"/>
    </w:rPr>
  </w:style>
  <w:style w:type="paragraph" w:styleId="Heading2">
    <w:name w:val="heading 2"/>
    <w:uiPriority w:val="9"/>
    <w:unhideWhenUsed/>
    <w:qFormat/>
    <w:pPr>
      <w:spacing w:lineRule="auto"/>
      <w:jc w:val="center"/>
      <w:outlineLvl w:val="1"/>
    </w:pPr>
    <w:rPr>
      <w:b/>
      <w:bCs/>
      <w:sz w:val="28"/>
      <w:szCs w:val="28"/>
    </w:rPr>
  </w:style>
  <w:style w:type="paragraph" w:styleId="Heading3">
    <w:name w:val="heading 3"/>
    <w:uiPriority w:val="9"/>
    <w:semiHidden/>
    <w:unhideWhenUsed/>
    <w:qFormat/>
    <w:pPr>
      <w:spacing w:lineRule="auto"/>
      <w:jc w:val="center"/>
      <w:outlineLvl w:val="2"/>
    </w:pPr>
    <w:rPr>
      <w:b/>
      <w:bCs/>
      <w:sz w:val="24"/>
      <w:szCs w:val="24"/>
    </w:rPr>
  </w:style>
  <w:style w:type="paragraph" w:styleId="Heading4">
    <w:name w:val="heading 4"/>
    <w:uiPriority w:val="9"/>
    <w:semiHidden/>
    <w:unhideWhenUsed/>
    <w:qFormat/>
    <w:pPr>
      <w:spacing w:lineRule="auto"/>
      <w:jc w:val="center"/>
      <w:outlineLvl w:val="3"/>
    </w:pPr>
    <w:rPr>
      <w:b/>
      <w:bCs/>
      <w:sz w:val="24"/>
      <w:szCs w:val="24"/>
    </w:rPr>
  </w:style>
  <w:style w:type="paragraph" w:styleId="Heading5">
    <w:name w:val="heading 5"/>
    <w:uiPriority w:val="9"/>
    <w:semiHidden/>
    <w:unhideWhenUsed/>
    <w:qFormat/>
    <w:pPr>
      <w:spacing w:lineRule="auto"/>
      <w:jc w:val="left"/>
      <w:outlineLvl w:val="4"/>
    </w:pPr>
    <w:rPr>
      <w:b/>
      <w:bCs/>
      <w:sz w:val="24"/>
      <w:szCs w:val="24"/>
    </w:rPr>
  </w:style>
  <w:style w:type="paragraph" w:styleId="Heading6">
    <w:name w:val="heading 6"/>
    <w:uiPriority w:val="9"/>
    <w:semiHidden/>
    <w:unhideWhenUsed/>
    <w:qFormat/>
    <w:pPr>
      <w:spacing w:lineRule="auto"/>
      <w:jc w:val="left"/>
      <w:outlineLvl w:val="5"/>
    </w:pPr>
    <w:rPr>
      <w:b/>
      <w:bCs/>
      <w:sz w:val="24"/>
      <w:szCs w:val="24"/>
    </w:rPr>
  </w:style>
  <w:style w:type="paragraph" w:styleId="Heading7">
    <w:name w:val="heading 7"/>
    <w:uiPriority w:val="9"/>
    <w:semiHidden/>
    <w:unhideWhenUsed/>
    <w:qFormat/>
    <w:pPr>
      <w:spacing w:lineRule="auto"/>
      <w:jc w:val="left"/>
      <w:outlineLvl w:val="6"/>
    </w:pPr>
    <w:rPr>
      <w:b/>
      <w:bCs/>
      <w:sz w:val="24"/>
      <w:szCs w:val="24"/>
    </w:rPr>
  </w:style>
  <w:style w:type="paragraph" w:styleId="Heading8">
    <w:name w:val="heading 8"/>
    <w:uiPriority w:val="9"/>
    <w:semiHidden/>
    <w:unhideWhenUsed/>
    <w:qFormat/>
    <w:pPr>
      <w:spacing w:lineRule="auto"/>
      <w:jc w:val="left"/>
      <w:outlineLvl w:val="7"/>
    </w:pPr>
    <w:rPr>
      <w:b/>
      <w:bCs/>
      <w:sz w:val="24"/>
      <w:szCs w:val="24"/>
    </w:rPr>
  </w:style>
  <w:style w:type="paragraph" w:styleId="Heading9">
    <w:name w:val="heading 9"/>
    <w:uiPriority w:val="9"/>
    <w:semiHidden/>
    <w:unhideWhenUsed/>
    <w:qFormat/>
    <w:pPr>
      <w:spacing w:lineRule="auto"/>
      <w:jc w:val="left"/>
      <w:outlineLvl w:val="8"/>
    </w:pPr>
    <w:rPr>
      <w:b/>
      <w:bCs/>
      <w:sz w:val="24"/>
      <w:szCs w:val="24"/>
    </w:rPr>
  </w:style>
  <w:style w:type="paragraph" w:styleId="Title">
    <w:name w:val="Title"/>
    <w:uiPriority w:val="10"/>
    <w:qFormat/>
    <w:rPr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pPr>
      <w:pStyle w:val="ListParagraph"/>
      <w:numPr>
        <w:ilvl w:val="1"/>
        <w:numId w:val="1"/>
      </w:numPr>
      <w:spacing w:after="160"/>
    </w:pPr>
    <w:rPr>
      <w:sz w:val="22"/>
      <w:szCs w:val="22"/>
      <w:spacing w:val="15"/>
    </w:rPr>
  </w:style>
  <w:style w:type="character" w:styleId="DefaultParagraphFont">
    <w:name w:val="Default Paragraph Font"/>
    <w:uiPriority w:val="99"/>
    <w:semiHidden/>
    <w:unhideWhenUsed/>
  </w:style>
  <w:style w:type="character" w:styleId="SubtitleChar">
    <w:basedOn w:val="DefaultParagraphFont"/>
    <w:link w:val="Subtitle"/>
    <w:uiPriority w:val="99"/>
    <w:unhideWhenUsed/>
    <w:rPr>
      <w:sz w:val="22"/>
      <w:szCs w:val="22"/>
      <w:spacing w:val="15"/>
    </w:rPr>
  </w:style>
</w:styles>
</file>

<file path=word/_rels/document.xml.rels><?xml version="1.0" encoding="UTF-8"?>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numbering" Target="numbering.xml"/><Relationship Id="rId3" Type="http://schemas.openxmlformats.org/officeDocument/2006/relationships/footnotes" Target="footnotes.xml"/><Relationship Id="rId4" Type="http://schemas.openxmlformats.org/officeDocument/2006/relationships/settings" Target="settings.xml"/><Relationship Id="rId5" Type="http://schemas.openxmlformats.org/officeDocument/2006/relationships/comments" Target="comments.xml"/><Relationship Id="rId6" Type="http://schemas.openxmlformats.org/officeDocument/2006/relationships/footer" Target="footer1.xml"/><Relationship Id="rId7" Type="http://schemas.openxmlformats.org/officeDocument/2006/relationships/image" Target="media/lsfggkkds0pzv04dvwreu.png"/><Relationship Id="rId8" Type="http://schemas.openxmlformats.org/officeDocument/2006/relationships/image" Target="media/m5himyjnawtq7gbu4ia7h.png"/><Relationship Id="rId9" Type="http://schemas.openxmlformats.org/officeDocument/2006/relationships/image" Target="media/egx3iz9c4qmooh2iabnmt.png"/><Relationship Id="rId10" Type="http://schemas.openxmlformats.org/officeDocument/2006/relationships/image" Target="media/__mj2okcfkmz0u0jc9xdd.png"/><Relationship Id="rId11" Type="http://schemas.openxmlformats.org/officeDocument/2006/relationships/image" Target="media/f-owhyev05r_vws40ok7x.png"/><Relationship Id="rId12" Type="http://schemas.openxmlformats.org/officeDocument/2006/relationships/image" Target="media/j8jdqwqmpjollkmqjrjni.png"/><Relationship Id="rId13" Type="http://schemas.openxmlformats.org/officeDocument/2006/relationships/image" Target="media/xvinislbu8kk5q_lhmqw4.png"/><Relationship Id="rId14" Type="http://schemas.openxmlformats.org/officeDocument/2006/relationships/image" Target="media/b8qfncebqxolwp1j2dj6r.png"/><Relationship Id="rId15" Type="http://schemas.openxmlformats.org/officeDocument/2006/relationships/image" Target="media/xwy-hfkmgf1uzoz2iiexs.png"/><Relationship Id="rId16" Type="http://schemas.openxmlformats.org/officeDocument/2006/relationships/image" Target="media/ilkjtskda098-w9xhzgkl.png"/><Relationship Id="rId17" Type="http://schemas.openxmlformats.org/officeDocument/2006/relationships/image" Target="media/jr8ykmm_si4ct-tnd-zru.png"/><Relationship Id="rId18" Type="http://schemas.openxmlformats.org/officeDocument/2006/relationships/image" Target="media/toodtm_n3edjbs0imno8o.png"/><Relationship Id="rId19" Type="http://schemas.openxmlformats.org/officeDocument/2006/relationships/image" Target="media/vnrnbbxwzgxlxdpn9zlel.png"/><Relationship Id="rId20" Type="http://schemas.openxmlformats.org/officeDocument/2006/relationships/image" Target="media/fgjsgqgfqdldqu8xqcqg5.png"/><Relationship Id="rId21" Type="http://schemas.openxmlformats.org/officeDocument/2006/relationships/image" Target="media/_1tmlxdf8qgx_n2oy_xty.png"/><Relationship Id="rId22" Type="http://schemas.openxmlformats.org/officeDocument/2006/relationships/image" Target="media/9d9jk80-xfesmng4eqt1y.png"/><Relationship Id="rId23" Type="http://schemas.openxmlformats.org/officeDocument/2006/relationships/image" Target="media/0kev685gu8mmg6r7hjgax.png"/><Relationship Id="rId24" Type="http://schemas.openxmlformats.org/officeDocument/2006/relationships/image" Target="media/xprwwod6rjewvgmm0c63h.png"/><Relationship Id="rId25" Type="http://schemas.openxmlformats.org/officeDocument/2006/relationships/image" Target="media/jah6xzvy1hqmxma1m3-um.png"/></Relationships>
</file>

<file path=word/_rels/footer1.xml.rels><?xml version="1.0" encoding="UTF-8"?><Relationships xmlns="http://schemas.openxmlformats.org/package/2006/relationships"/>
</file>

<file path=word/_rels/footnotes.xml.rels><?xml version="1.0" encoding="UTF-8"?><Relationships xmlns="http://schemas.openxmlformats.org/package/2006/relationships"/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Un-named</dc:creator>
  <cp:lastModifiedBy>Un-named</cp:lastModifiedBy>
  <cp:revision>1</cp:revision>
  <dcterms:created xsi:type="dcterms:W3CDTF">2025-03-31T09:16:22.965Z</dcterms:created>
  <dcterms:modified xsi:type="dcterms:W3CDTF">2025-03-31T09:16:22.965Z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